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34B" w:rsidRDefault="00A6734B" w:rsidP="002E339F">
      <w:pPr>
        <w:pStyle w:val="Heading3"/>
        <w:spacing w:before="0" w:line="360" w:lineRule="auto"/>
        <w:jc w:val="center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Исследование портфельных стратегий КПК «Партнер»</w:t>
      </w:r>
    </w:p>
    <w:p w:rsidR="00A6734B" w:rsidRPr="00086D37" w:rsidRDefault="00A6734B" w:rsidP="00086D37">
      <w:pPr>
        <w:spacing w:after="0" w:line="240" w:lineRule="auto"/>
        <w:jc w:val="left"/>
        <w:rPr>
          <w:i/>
        </w:rPr>
      </w:pPr>
      <w:r w:rsidRPr="00086D37">
        <w:rPr>
          <w:b/>
        </w:rPr>
        <w:t>Казловская И.А.,</w:t>
      </w:r>
      <w:r>
        <w:t xml:space="preserve"> </w:t>
      </w:r>
      <w:r w:rsidRPr="00086D37">
        <w:rPr>
          <w:i/>
        </w:rPr>
        <w:t>ЯФ МЭСИ</w:t>
      </w:r>
    </w:p>
    <w:p w:rsidR="00A6734B" w:rsidRDefault="00A6734B" w:rsidP="00086D37">
      <w:pPr>
        <w:spacing w:after="0" w:line="240" w:lineRule="auto"/>
        <w:jc w:val="left"/>
        <w:rPr>
          <w:i/>
        </w:rPr>
      </w:pPr>
      <w:r w:rsidRPr="00086D37">
        <w:rPr>
          <w:i/>
        </w:rPr>
        <w:t>Научный руководитель: доцент, к. педаг. Кормягина Н.Н.</w:t>
      </w:r>
    </w:p>
    <w:p w:rsidR="00A6734B" w:rsidRPr="00086D37" w:rsidRDefault="00A6734B" w:rsidP="00086D37">
      <w:pPr>
        <w:spacing w:after="0" w:line="240" w:lineRule="auto"/>
        <w:jc w:val="left"/>
        <w:rPr>
          <w:i/>
        </w:rPr>
      </w:pPr>
      <w:r w:rsidRPr="00086D37">
        <w:rPr>
          <w:i/>
        </w:rPr>
        <w:t xml:space="preserve"> </w:t>
      </w:r>
    </w:p>
    <w:p w:rsidR="00A6734B" w:rsidRPr="002E339F" w:rsidRDefault="00A6734B" w:rsidP="002E339F">
      <w:pPr>
        <w:spacing w:after="0" w:line="360" w:lineRule="auto"/>
        <w:ind w:firstLine="709"/>
        <w:rPr>
          <w:szCs w:val="28"/>
        </w:rPr>
      </w:pPr>
      <w:r w:rsidRPr="002E339F">
        <w:rPr>
          <w:szCs w:val="28"/>
        </w:rPr>
        <w:t>Некоммерческие организации и</w:t>
      </w:r>
      <w:r>
        <w:rPr>
          <w:szCs w:val="28"/>
        </w:rPr>
        <w:t>меют ряд особенностей маркетинговой деятельности, поэтому очень важным представляется исследование процессов маркетинга в подобного рода организациях.</w:t>
      </w:r>
    </w:p>
    <w:p w:rsidR="00A6734B" w:rsidRPr="00600F9C" w:rsidRDefault="00A6734B" w:rsidP="002E339F">
      <w:pPr>
        <w:spacing w:after="0" w:line="360" w:lineRule="auto"/>
        <w:ind w:firstLine="709"/>
        <w:rPr>
          <w:szCs w:val="28"/>
        </w:rPr>
      </w:pPr>
      <w:r w:rsidRPr="00600F9C">
        <w:rPr>
          <w:szCs w:val="28"/>
        </w:rPr>
        <w:t>Кредитный потребительский кооператив «Партнер» является некоммерческой организацией в форме потреби</w:t>
      </w:r>
      <w:r>
        <w:rPr>
          <w:szCs w:val="28"/>
        </w:rPr>
        <w:t>тельского кооператива, созданного</w:t>
      </w:r>
      <w:r w:rsidRPr="00600F9C">
        <w:rPr>
          <w:szCs w:val="28"/>
        </w:rPr>
        <w:t xml:space="preserve"> в результате добровольного объединения физических и юридических лиц на основе членства с целью удовлетворения финансовых потребносте</w:t>
      </w:r>
      <w:r>
        <w:rPr>
          <w:szCs w:val="28"/>
        </w:rPr>
        <w:t xml:space="preserve">й членов кредитного кооператива. </w:t>
      </w:r>
    </w:p>
    <w:p w:rsidR="00A6734B" w:rsidRDefault="00A6734B" w:rsidP="002E339F">
      <w:pPr>
        <w:spacing w:after="0" w:line="360" w:lineRule="auto"/>
        <w:ind w:firstLine="720"/>
        <w:rPr>
          <w:szCs w:val="28"/>
        </w:rPr>
      </w:pPr>
      <w:r>
        <w:rPr>
          <w:szCs w:val="28"/>
        </w:rPr>
        <w:t>Цель исследования: анализ состояния и прогноз развития товарной политики организации с использованием Portfolio-анализа (аналог Бостонской матрицы). Дадим экспертную оценку экономическим характеристикам реализуемых услуг, ассортиментных групп.</w:t>
      </w:r>
    </w:p>
    <w:p w:rsidR="00A6734B" w:rsidRDefault="00A6734B" w:rsidP="00F95F4D">
      <w:pPr>
        <w:jc w:val="center"/>
        <w:rPr>
          <w:szCs w:val="28"/>
        </w:rPr>
      </w:pPr>
      <w:r>
        <w:rPr>
          <w:szCs w:val="28"/>
        </w:rPr>
        <w:t>Таблица 1 - Анализ рынка услуг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13"/>
        <w:gridCol w:w="416"/>
        <w:gridCol w:w="397"/>
        <w:gridCol w:w="417"/>
        <w:gridCol w:w="417"/>
        <w:gridCol w:w="417"/>
        <w:gridCol w:w="426"/>
        <w:gridCol w:w="426"/>
        <w:gridCol w:w="426"/>
        <w:gridCol w:w="426"/>
        <w:gridCol w:w="406"/>
        <w:gridCol w:w="2084"/>
      </w:tblGrid>
      <w:tr w:rsidR="00A6734B" w:rsidRPr="00374FE5" w:rsidTr="00F95F4D">
        <w:tc>
          <w:tcPr>
            <w:tcW w:w="0" w:type="auto"/>
            <w:vMerge w:val="restart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374FE5">
              <w:rPr>
                <w:b/>
                <w:sz w:val="24"/>
                <w:szCs w:val="24"/>
                <w:u w:val="single"/>
              </w:rPr>
              <w:t>Услуги</w:t>
            </w:r>
          </w:p>
        </w:tc>
        <w:tc>
          <w:tcPr>
            <w:tcW w:w="0" w:type="auto"/>
            <w:gridSpan w:val="5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374FE5">
              <w:rPr>
                <w:b/>
                <w:sz w:val="24"/>
                <w:szCs w:val="24"/>
                <w:u w:val="single"/>
              </w:rPr>
              <w:t>Рост рынка, балл.</w:t>
            </w:r>
          </w:p>
        </w:tc>
        <w:tc>
          <w:tcPr>
            <w:tcW w:w="0" w:type="auto"/>
            <w:gridSpan w:val="5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374FE5">
              <w:rPr>
                <w:b/>
                <w:sz w:val="24"/>
                <w:szCs w:val="24"/>
                <w:u w:val="single"/>
              </w:rPr>
              <w:t>Доля рынка, балл.</w:t>
            </w:r>
          </w:p>
        </w:tc>
        <w:tc>
          <w:tcPr>
            <w:tcW w:w="0" w:type="auto"/>
            <w:vMerge w:val="restart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374FE5">
              <w:rPr>
                <w:b/>
                <w:sz w:val="24"/>
                <w:szCs w:val="24"/>
                <w:u w:val="single"/>
              </w:rPr>
              <w:t>Доля в прибыли, %</w:t>
            </w:r>
          </w:p>
        </w:tc>
      </w:tr>
      <w:tr w:rsidR="00A6734B" w:rsidRPr="00374FE5" w:rsidTr="00F95F4D">
        <w:tc>
          <w:tcPr>
            <w:tcW w:w="0" w:type="auto"/>
            <w:vMerge/>
            <w:vAlign w:val="center"/>
          </w:tcPr>
          <w:p w:rsidR="00A6734B" w:rsidRPr="00374FE5" w:rsidRDefault="00A6734B" w:rsidP="00D14D05">
            <w:pPr>
              <w:spacing w:after="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4F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vAlign w:val="center"/>
          </w:tcPr>
          <w:p w:rsidR="00A6734B" w:rsidRPr="00374FE5" w:rsidRDefault="00A6734B" w:rsidP="00D14D05">
            <w:pPr>
              <w:spacing w:after="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</w:p>
        </w:tc>
      </w:tr>
      <w:tr w:rsidR="00A6734B" w:rsidRPr="00374FE5" w:rsidTr="00D14D05">
        <w:trPr>
          <w:trHeight w:val="745"/>
        </w:trPr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1.Товарные займы до 30 тыс. руб.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10</w:t>
            </w:r>
          </w:p>
        </w:tc>
      </w:tr>
      <w:tr w:rsidR="00A6734B" w:rsidRPr="00374FE5" w:rsidTr="00F95F4D"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2.Товарные займы до 100  тыс. руб.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20</w:t>
            </w:r>
          </w:p>
        </w:tc>
      </w:tr>
      <w:tr w:rsidR="00A6734B" w:rsidRPr="00374FE5" w:rsidTr="00F95F4D"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3. Товарные займы св. 100 тыс. руб.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10</w:t>
            </w:r>
          </w:p>
        </w:tc>
      </w:tr>
      <w:tr w:rsidR="00A6734B" w:rsidRPr="00374FE5" w:rsidTr="00F95F4D"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4.Денежные займы до 30 тыс. руб.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5</w:t>
            </w:r>
          </w:p>
        </w:tc>
      </w:tr>
      <w:tr w:rsidR="00A6734B" w:rsidRPr="00374FE5" w:rsidTr="00F95F4D"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5.Денежные займы до 100 тыс.  руб.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30</w:t>
            </w:r>
          </w:p>
        </w:tc>
      </w:tr>
      <w:tr w:rsidR="00A6734B" w:rsidRPr="00374FE5" w:rsidTr="00F95F4D"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6.Денежные займы св. 100 тыс. руб.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20</w:t>
            </w:r>
          </w:p>
        </w:tc>
      </w:tr>
      <w:tr w:rsidR="00A6734B" w:rsidRPr="00374FE5" w:rsidTr="00F95F4D"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 xml:space="preserve">7.Ипотечные займы 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1</w:t>
            </w:r>
          </w:p>
        </w:tc>
      </w:tr>
      <w:tr w:rsidR="00A6734B" w:rsidRPr="00374FE5" w:rsidTr="00F95F4D"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8.Вклады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6734B" w:rsidRPr="00374FE5" w:rsidRDefault="00A6734B" w:rsidP="00D14D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4FE5">
              <w:rPr>
                <w:sz w:val="24"/>
                <w:szCs w:val="24"/>
              </w:rPr>
              <w:t>4</w:t>
            </w:r>
          </w:p>
        </w:tc>
      </w:tr>
    </w:tbl>
    <w:p w:rsidR="00A6734B" w:rsidRDefault="00A6734B" w:rsidP="00F95F4D">
      <w:pPr>
        <w:rPr>
          <w:szCs w:val="28"/>
        </w:rPr>
      </w:pPr>
      <w:r>
        <w:rPr>
          <w:szCs w:val="28"/>
        </w:rPr>
        <w:t>На основании табличных данных строится матрицу BCG</w:t>
      </w:r>
    </w:p>
    <w:p w:rsidR="00A6734B" w:rsidRDefault="00A6734B" w:rsidP="00F95F4D">
      <w:pPr>
        <w:rPr>
          <w:szCs w:val="28"/>
        </w:rPr>
      </w:pPr>
      <w:r>
        <w:rPr>
          <w:noProof/>
        </w:rPr>
        <w:pict>
          <v:oval id="_x0000_s1026" style="position:absolute;left:0;text-align:left;margin-left:162pt;margin-top:5.95pt;width:63pt;height:54pt;z-index:251658240">
            <v:textbox>
              <w:txbxContent>
                <w:p w:rsidR="00A6734B" w:rsidRDefault="00A6734B" w:rsidP="00F95F4D">
                  <w:r>
                    <w:rPr>
                      <w:b/>
                      <w:sz w:val="32"/>
                      <w:szCs w:val="32"/>
                    </w:rPr>
                    <w:t>4</w:t>
                  </w:r>
                  <w:r>
                    <w:t>,</w:t>
                  </w:r>
                  <w:r>
                    <w:rPr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7" style="position:absolute;left:0;text-align:left;margin-left:180pt;margin-top:14.95pt;width:27pt;height:27pt;z-index:251659264">
            <v:textbox style="mso-next-textbox:#_x0000_s1027">
              <w:txbxContent>
                <w:p w:rsidR="00A6734B" w:rsidRDefault="00A6734B" w:rsidP="00F95F4D">
                  <w:pPr>
                    <w:rPr>
                      <w:b/>
                      <w:szCs w:val="2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28" style="position:absolute;left:0;text-align:left;margin-left:261pt;margin-top:14.95pt;width:54pt;height:54pt;z-index:251660288">
            <v:textbox style="mso-next-textbox:#_x0000_s1028">
              <w:txbxContent>
                <w:p w:rsidR="00A6734B" w:rsidRDefault="00A6734B" w:rsidP="00F95F4D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2</w:t>
                  </w:r>
                </w:p>
              </w:txbxContent>
            </v:textbox>
          </v:oval>
        </w:pict>
      </w:r>
      <w:r>
        <w:rPr>
          <w:szCs w:val="28"/>
        </w:rPr>
        <w:t>Рост рынка, балл.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53"/>
        <w:gridCol w:w="1954"/>
        <w:gridCol w:w="1953"/>
        <w:gridCol w:w="1955"/>
        <w:gridCol w:w="1756"/>
      </w:tblGrid>
      <w:tr w:rsidR="00A6734B" w:rsidRPr="00374FE5" w:rsidTr="00F95F4D">
        <w:trPr>
          <w:trHeight w:val="1151"/>
        </w:trPr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  <w:r>
              <w:rPr>
                <w:noProof/>
              </w:rPr>
              <w:pict>
                <v:oval id="_x0000_s1029" style="position:absolute;left:0;text-align:left;margin-left:54.5pt;margin-top:21.95pt;width:1in;height:72.55pt;z-index:251661312;mso-position-horizontal-relative:text;mso-position-vertical-relative:text">
                  <v:textbox style="mso-next-textbox:#_x0000_s1029">
                    <w:txbxContent>
                      <w:p w:rsidR="00A6734B" w:rsidRDefault="00A6734B" w:rsidP="00F95F4D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   5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</w:r>
            <w:r w:rsidRPr="008C61E9">
              <w:rPr>
                <w:szCs w:val="28"/>
              </w:rPr>
              <w:pict>
                <v:group id="_x0000_s1030" editas="canvas" style="width:81pt;height:45pt;mso-position-horizontal-relative:char;mso-position-vertical-relative:line" coordorigin="2281,2271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2281;top:2271;width:7200;height:4320" o:preferrelative="f">
                    <v:fill o:detectmouseclick="t"/>
                    <v:path o:extrusionok="t" o:connecttype="none"/>
                  </v:shape>
                  <w10:anchorlock/>
                </v:group>
              </w:pict>
            </w: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  <w:r>
              <w:rPr>
                <w:noProof/>
              </w:rPr>
            </w:r>
            <w:r w:rsidRPr="008C61E9">
              <w:rPr>
                <w:szCs w:val="28"/>
              </w:rPr>
              <w:pict>
                <v:group id="_x0000_s1032" editas="canvas" style="width:81pt;height:45pt;mso-position-horizontal-relative:char;mso-position-vertical-relative:line" coordorigin="2281,2271" coordsize="7200,4320">
                  <o:lock v:ext="edit" aspectratio="t"/>
                  <v:shape id="_x0000_s1033" type="#_x0000_t75" style="position:absolute;left:2281;top:2271;width:7200;height:4320" o:preferrelative="f">
                    <v:fill o:detectmouseclick="t"/>
                    <v:path o:extrusionok="t" o:connecttype="none"/>
                  </v:shape>
                  <w10:anchorlock/>
                </v:group>
              </w:pict>
            </w: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  <w:r>
              <w:rPr>
                <w:noProof/>
              </w:rPr>
              <w:pict>
                <v:oval id="_x0000_s1034" style="position:absolute;left:0;text-align:left;margin-left:73.5pt;margin-top:30.8pt;width:45pt;height:45pt;z-index:251662336;mso-position-horizontal-relative:text;mso-position-vertical-relative:text">
                  <v:textbox style="mso-next-textbox:#_x0000_s1034">
                    <w:txbxContent>
                      <w:p w:rsidR="00A6734B" w:rsidRDefault="00A6734B" w:rsidP="00F95F4D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</w:r>
            <w:r w:rsidRPr="008C61E9">
              <w:rPr>
                <w:szCs w:val="28"/>
              </w:rPr>
              <w:pict>
                <v:group id="_x0000_s1035" editas="canvas" style="width:81pt;height:45pt;mso-position-horizontal-relative:char;mso-position-vertical-relative:line" coordorigin="2281,3658" coordsize="7200,4320">
                  <o:lock v:ext="edit" aspectratio="t"/>
                  <v:shape id="_x0000_s1036" type="#_x0000_t75" style="position:absolute;left:2281;top:3658;width:7200;height:4320" o:preferrelative="f">
                    <v:fill o:detectmouseclick="t"/>
                    <v:path o:extrusionok="t" o:connecttype="none"/>
                  </v:shape>
                  <w10:anchorlock/>
                </v:group>
              </w:pict>
            </w: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</w:tr>
      <w:tr w:rsidR="00A6734B" w:rsidRPr="00374FE5" w:rsidTr="00F95F4D">
        <w:trPr>
          <w:trHeight w:val="1151"/>
        </w:trPr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  <w:r>
              <w:rPr>
                <w:noProof/>
              </w:rPr>
              <w:pict>
                <v:oval id="_x0000_s1037" style="position:absolute;left:0;text-align:left;margin-left:72.5pt;margin-top:36.45pt;width:42.15pt;height:35.55pt;z-index:251663360;mso-position-horizontal-relative:text;mso-position-vertical-relative:text">
                  <v:textbox style="mso-next-textbox:#_x0000_s1037">
                    <w:txbxContent>
                      <w:p w:rsidR="00A6734B" w:rsidRDefault="00A6734B" w:rsidP="00F95F4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3, 8 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</w:tr>
      <w:tr w:rsidR="00A6734B" w:rsidRPr="00374FE5" w:rsidTr="00F95F4D">
        <w:trPr>
          <w:trHeight w:val="1151"/>
        </w:trPr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  <w:r w:rsidRPr="00374FE5">
              <w:rPr>
                <w:szCs w:val="28"/>
              </w:rPr>
              <w:t>1                   2</w:t>
            </w:r>
          </w:p>
          <w:p w:rsidR="00A6734B" w:rsidRPr="00374FE5" w:rsidRDefault="00A6734B">
            <w:pPr>
              <w:rPr>
                <w:szCs w:val="28"/>
              </w:rPr>
            </w:pPr>
            <w:r w:rsidRPr="00374FE5">
              <w:rPr>
                <w:szCs w:val="28"/>
              </w:rPr>
              <w:t>3                   4</w:t>
            </w: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</w:tr>
      <w:tr w:rsidR="00A6734B" w:rsidRPr="00374FE5" w:rsidTr="00F95F4D">
        <w:trPr>
          <w:trHeight w:val="1151"/>
        </w:trPr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  <w:r>
              <w:rPr>
                <w:noProof/>
              </w:rPr>
              <w:pict>
                <v:oval id="_x0000_s1038" style="position:absolute;left:0;text-align:left;margin-left:-9pt;margin-top:54.75pt;width:9pt;height:9pt;z-index:251664384;mso-position-horizontal-relative:text;mso-position-vertical-relative:text"/>
              </w:pict>
            </w: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</w:tr>
      <w:tr w:rsidR="00A6734B" w:rsidRPr="00374FE5" w:rsidTr="00F95F4D">
        <w:trPr>
          <w:trHeight w:val="1151"/>
        </w:trPr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  <w:r>
              <w:rPr>
                <w:noProof/>
              </w:rPr>
            </w:r>
            <w:r w:rsidRPr="008C61E9">
              <w:rPr>
                <w:szCs w:val="28"/>
              </w:rPr>
              <w:pict>
                <v:group id="_x0000_s1039" editas="canvas" style="width:81pt;height:45pt;mso-position-horizontal-relative:char;mso-position-vertical-relative:line" coordorigin="2281,6538" coordsize="7200,4320">
                  <o:lock v:ext="edit" aspectratio="t"/>
                  <v:shape id="_x0000_s1040" type="#_x0000_t75" style="position:absolute;left:2281;top:6538;width:7200;height:4320" o:preferrelative="f">
                    <v:fill o:detectmouseclick="t"/>
                    <v:path o:extrusionok="t" o:connecttype="none"/>
                  </v:shape>
                  <w10:anchorlock/>
                </v:group>
              </w:pict>
            </w: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0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  <w:tc>
          <w:tcPr>
            <w:tcW w:w="1972" w:type="dxa"/>
          </w:tcPr>
          <w:p w:rsidR="00A6734B" w:rsidRPr="00374FE5" w:rsidRDefault="00A6734B">
            <w:pPr>
              <w:rPr>
                <w:szCs w:val="28"/>
              </w:rPr>
            </w:pPr>
          </w:p>
        </w:tc>
      </w:tr>
    </w:tbl>
    <w:p w:rsidR="00A6734B" w:rsidRDefault="00A6734B" w:rsidP="006A4C16">
      <w:pPr>
        <w:spacing w:after="0" w:line="360" w:lineRule="auto"/>
        <w:jc w:val="right"/>
        <w:rPr>
          <w:szCs w:val="28"/>
        </w:rPr>
      </w:pPr>
      <w:r>
        <w:rPr>
          <w:szCs w:val="28"/>
        </w:rPr>
        <w:t>Доля рынка, балл</w:t>
      </w:r>
    </w:p>
    <w:p w:rsidR="00A6734B" w:rsidRDefault="00A6734B" w:rsidP="006A4C16">
      <w:pPr>
        <w:spacing w:after="0" w:line="360" w:lineRule="auto"/>
        <w:jc w:val="center"/>
        <w:rPr>
          <w:szCs w:val="28"/>
        </w:rPr>
      </w:pPr>
      <w:r>
        <w:rPr>
          <w:szCs w:val="28"/>
        </w:rPr>
        <w:t>Рисунок 5 – Матрица  Portfolio-анализа.</w:t>
      </w:r>
    </w:p>
    <w:p w:rsidR="00A6734B" w:rsidRDefault="00A6734B" w:rsidP="006A4C16">
      <w:pPr>
        <w:spacing w:after="0" w:line="360" w:lineRule="auto"/>
        <w:ind w:firstLine="720"/>
        <w:rPr>
          <w:szCs w:val="28"/>
        </w:rPr>
      </w:pPr>
      <w:r>
        <w:rPr>
          <w:szCs w:val="28"/>
        </w:rPr>
        <w:t xml:space="preserve">Выводы: </w:t>
      </w:r>
    </w:p>
    <w:p w:rsidR="00A6734B" w:rsidRDefault="00A6734B" w:rsidP="006A4C16">
      <w:pPr>
        <w:spacing w:after="0" w:line="360" w:lineRule="auto"/>
        <w:ind w:firstLine="720"/>
        <w:rPr>
          <w:szCs w:val="28"/>
        </w:rPr>
      </w:pPr>
      <w:r>
        <w:rPr>
          <w:szCs w:val="28"/>
        </w:rPr>
        <w:t>1. Услуги 4,5,6,8 попали в зону «трудные дети», что соответствует этапу внедрения товара на рынок. Услуги 1,2, расположились в зоне «звезд» и требуют затрат. Услуга 7 находится в зоне «собак», т.е. в зоне спада и если затраты будут неэффективны их нужно выводить с рынка или изменять условия.</w:t>
      </w:r>
    </w:p>
    <w:p w:rsidR="00A6734B" w:rsidRDefault="00A6734B" w:rsidP="00BD3C68">
      <w:pPr>
        <w:spacing w:after="0" w:line="360" w:lineRule="auto"/>
        <w:ind w:firstLine="720"/>
        <w:rPr>
          <w:szCs w:val="28"/>
        </w:rPr>
      </w:pPr>
      <w:r>
        <w:rPr>
          <w:szCs w:val="28"/>
        </w:rPr>
        <w:t>2. Среди продуктов нет услуг, относящихся к зоне «дойные коровы», что вызывает тревогу, т.к. именно они приносят наибольший объем наличности.</w:t>
      </w:r>
    </w:p>
    <w:p w:rsidR="00A6734B" w:rsidRDefault="00A6734B" w:rsidP="00BD3C68">
      <w:pPr>
        <w:spacing w:after="0" w:line="360" w:lineRule="auto"/>
        <w:ind w:firstLine="720"/>
        <w:rPr>
          <w:szCs w:val="28"/>
        </w:rPr>
      </w:pPr>
      <w:r>
        <w:rPr>
          <w:szCs w:val="28"/>
        </w:rPr>
        <w:t xml:space="preserve">3. Услуга 5 при низкой доле рынка приносит, тем не менее, 30% прибыли. </w:t>
      </w:r>
    </w:p>
    <w:p w:rsidR="00A6734B" w:rsidRDefault="00A6734B" w:rsidP="00BD3C68">
      <w:pPr>
        <w:spacing w:after="0" w:line="360" w:lineRule="auto"/>
        <w:ind w:firstLine="720"/>
        <w:rPr>
          <w:szCs w:val="28"/>
        </w:rPr>
      </w:pPr>
      <w:r>
        <w:rPr>
          <w:szCs w:val="28"/>
        </w:rPr>
        <w:t>4. Ипотечные займы имеют низкий темп роста и низкую долю рынка.</w:t>
      </w:r>
    </w:p>
    <w:p w:rsidR="00A6734B" w:rsidRDefault="00A6734B" w:rsidP="00BD3C68">
      <w:pPr>
        <w:spacing w:after="0" w:line="360" w:lineRule="auto"/>
        <w:ind w:firstLine="720"/>
        <w:rPr>
          <w:szCs w:val="28"/>
        </w:rPr>
      </w:pPr>
      <w:r>
        <w:rPr>
          <w:szCs w:val="28"/>
        </w:rPr>
        <w:t>Таким образом, данный анализ позволяет спрогнозировать товарную политику предприятия, даже если оно относится к некоммерческим.</w:t>
      </w:r>
    </w:p>
    <w:sectPr w:rsidR="00A6734B" w:rsidSect="00055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34B" w:rsidRDefault="00A6734B" w:rsidP="00F95F4D">
      <w:pPr>
        <w:spacing w:after="0" w:line="240" w:lineRule="auto"/>
      </w:pPr>
      <w:r>
        <w:separator/>
      </w:r>
    </w:p>
  </w:endnote>
  <w:endnote w:type="continuationSeparator" w:id="1">
    <w:p w:rsidR="00A6734B" w:rsidRDefault="00A6734B" w:rsidP="00F9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34B" w:rsidRDefault="00A6734B" w:rsidP="00F95F4D">
      <w:pPr>
        <w:spacing w:after="0" w:line="240" w:lineRule="auto"/>
      </w:pPr>
      <w:r>
        <w:separator/>
      </w:r>
    </w:p>
  </w:footnote>
  <w:footnote w:type="continuationSeparator" w:id="1">
    <w:p w:rsidR="00A6734B" w:rsidRDefault="00A6734B" w:rsidP="00F95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93B1E"/>
    <w:multiLevelType w:val="hybridMultilevel"/>
    <w:tmpl w:val="62AE2AA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2BA76C6"/>
    <w:multiLevelType w:val="hybridMultilevel"/>
    <w:tmpl w:val="9A9828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F4D"/>
    <w:rsid w:val="00055F07"/>
    <w:rsid w:val="00086D37"/>
    <w:rsid w:val="001079BF"/>
    <w:rsid w:val="00161B73"/>
    <w:rsid w:val="002E339F"/>
    <w:rsid w:val="00374FE5"/>
    <w:rsid w:val="004A2018"/>
    <w:rsid w:val="005120CA"/>
    <w:rsid w:val="00575C94"/>
    <w:rsid w:val="00600F9C"/>
    <w:rsid w:val="006A4C16"/>
    <w:rsid w:val="00793EB3"/>
    <w:rsid w:val="008C61E9"/>
    <w:rsid w:val="00960474"/>
    <w:rsid w:val="009B210E"/>
    <w:rsid w:val="00A6734B"/>
    <w:rsid w:val="00B852FA"/>
    <w:rsid w:val="00BB4DE7"/>
    <w:rsid w:val="00BD3C68"/>
    <w:rsid w:val="00C40F5F"/>
    <w:rsid w:val="00D14D05"/>
    <w:rsid w:val="00DF4EA2"/>
    <w:rsid w:val="00F9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F4D"/>
    <w:pPr>
      <w:spacing w:after="200" w:line="276" w:lineRule="auto"/>
      <w:jc w:val="both"/>
    </w:pPr>
    <w:rPr>
      <w:rFonts w:ascii="Times New Roman" w:eastAsia="Times New Roman" w:hAnsi="Times New Roman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5F4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5F4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5F4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5F4D"/>
    <w:rPr>
      <w:rFonts w:ascii="Cambria" w:hAnsi="Cambria" w:cs="Times New Roman"/>
      <w:b/>
      <w:bCs/>
      <w:color w:val="4F81BD"/>
      <w:sz w:val="28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F95F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95F4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F95F4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36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351</Words>
  <Characters>2004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Mosina.J</cp:lastModifiedBy>
  <cp:revision>7</cp:revision>
  <dcterms:created xsi:type="dcterms:W3CDTF">2011-03-10T09:23:00Z</dcterms:created>
  <dcterms:modified xsi:type="dcterms:W3CDTF">2011-05-04T07:29:00Z</dcterms:modified>
</cp:coreProperties>
</file>